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肇东市行政审批服务中心保洁委托业务、物业管理服务竞争性谈判公告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保洁委托业务、物业管理服务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黑龙江省政府采购管理平台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2026年04月24日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项目编号：[231282]JHGL[TP]20260002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项目名称：保洁委托业务、物业管理服务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预算金额：521,700.00元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合同包1(保洁委托业务、物业管理服务):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521,700.00元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物业管理服务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保洁委托业务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1(项)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275,800.00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1-2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物业管理服务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物业管理服务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1(项)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245,900.00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自合同签订之日起250日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合同包1(保洁委托业务、物业管理服务)落实政府采购政策需满足的资格要求如下: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3.本项目的特定资格要求：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合同包1(保洁委托业务、物业管理服务)特定资格要求如下: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(1)具有全国物业管理企业经理上岗证及项目经理上岗证书，年龄在35—55岁，要求必须为投投标企业正式员工，不允许挂靠形式，提供本企业近三个月（2026年1月-2026年3月）为其连续缴纳社会保险证明及其身份证明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2026年04月20日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2026年04月23日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2026年04月24日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2026年04月24日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肇东市行政审批服务中心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肇东市行政审批服务中心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0455-7991003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黑龙江津赫工程管理有限公司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黑龙江省哈尔滨市香坊区松江路2号6-1商服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0451-82923369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黑龙江津赫工程管理有限公司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0451-82923369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黑龙江津赫工程管理有限公司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五块钱</dc:creator>
  <cp:lastModifiedBy>五块钱</cp:lastModifiedBy>
  <dcterms:modified xsi:type="dcterms:W3CDTF">2022-04-27T17:40:01Z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