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肇东市农业开发服务中心工程初验服务(三次)竞争性谈判公告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工程初验服务(三次)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2026年07月08日 13时30分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项目编号：[231282]YCXMGL[TP]20260004-2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项目名称：工程初验服务(三次)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预算金额：335,700.00元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合同包1(工程初验服务):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335,700.00元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其他鉴证服务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工程初验服务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1(项)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335,700.00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自合同签订之日起到验收合格结束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合同包1(工程初验服务)落实政府采购政策需满足的资格要求如下: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3.本项目的特定资格要求：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合同包1(工程初验服务)特定资格要求如下: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(1)参与本项目供应商须在全国投资在线审批监管平台备案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(2)项目主要负责人1人，具备工程相关专业副高级及以上职称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(3)供应商须承诺中标后在限定时间内组建专门验收专家队伍(需在黑龙江省高标准农田建设项目专家库中），根据项目验收内容，专家队伍具备相关专业副高级及以上职称，专家由5人及以上的单数组成，每个专业配备1人及以上，并向采购人提供工作人员名单、身份证复印件、职称证等材料备案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2026年07月02日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2026年07月06日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2026年07月08日 13时30分00秒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2026年07月08日 13时30分00秒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186 4606 9155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哈尔滨市道里区群力大道与朗江路交口星光耀办公楼二期B座20层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黑龙江省运成工程项目管理有限公司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