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E49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left"/>
        <w:textAlignment w:val="auto"/>
        <w:rPr>
          <w:rStyle w:val="7"/>
          <w:rFonts w:hint="eastAsia" w:ascii="黑体" w:hAnsi="黑体" w:eastAsia="黑体" w:cs="黑体"/>
          <w:b w:val="0"/>
          <w:bCs w:val="0"/>
          <w:i w:val="0"/>
          <w:iCs w:val="0"/>
          <w:caps w:val="0"/>
          <w:color w:val="000000"/>
          <w:spacing w:val="0"/>
          <w:sz w:val="32"/>
          <w:szCs w:val="32"/>
          <w:shd w:val="clear" w:fill="FFFFFF"/>
          <w:lang w:val="en-US" w:eastAsia="zh-CN"/>
        </w:rPr>
      </w:pPr>
      <w:r>
        <w:rPr>
          <w:rStyle w:val="7"/>
          <w:rFonts w:hint="eastAsia" w:ascii="黑体" w:hAnsi="黑体" w:eastAsia="黑体" w:cs="黑体"/>
          <w:b w:val="0"/>
          <w:bCs w:val="0"/>
          <w:i w:val="0"/>
          <w:iCs w:val="0"/>
          <w:caps w:val="0"/>
          <w:color w:val="000000"/>
          <w:spacing w:val="0"/>
          <w:sz w:val="32"/>
          <w:szCs w:val="32"/>
          <w:shd w:val="clear" w:fill="FFFFFF"/>
          <w:lang w:val="en-US" w:eastAsia="zh-CN"/>
        </w:rPr>
        <w:t>附件</w:t>
      </w:r>
    </w:p>
    <w:p w14:paraId="58CD57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center"/>
        <w:textAlignment w:val="auto"/>
        <w:rPr>
          <w:rStyle w:val="7"/>
          <w:rFonts w:hint="eastAsia" w:ascii="方正小标宋简体" w:hAnsi="方正小标宋简体" w:eastAsia="方正小标宋简体" w:cs="方正小标宋简体"/>
          <w:b w:val="0"/>
          <w:bCs w:val="0"/>
          <w:i w:val="0"/>
          <w:iCs w:val="0"/>
          <w:caps w:val="0"/>
          <w:color w:val="000000"/>
          <w:spacing w:val="0"/>
          <w:sz w:val="44"/>
          <w:szCs w:val="44"/>
          <w:shd w:val="clear" w:fill="FFFFFF"/>
        </w:rPr>
      </w:pPr>
      <w:r>
        <w:rPr>
          <w:rStyle w:val="7"/>
          <w:rFonts w:hint="eastAsia" w:ascii="方正小标宋简体" w:hAnsi="方正小标宋简体" w:eastAsia="方正小标宋简体" w:cs="方正小标宋简体"/>
          <w:b w:val="0"/>
          <w:bCs w:val="0"/>
          <w:i w:val="0"/>
          <w:iCs w:val="0"/>
          <w:caps w:val="0"/>
          <w:color w:val="000000"/>
          <w:spacing w:val="0"/>
          <w:sz w:val="44"/>
          <w:szCs w:val="44"/>
          <w:shd w:val="clear" w:fill="FFFFFF"/>
        </w:rPr>
        <w:t>2026年</w:t>
      </w:r>
      <w:r>
        <w:rPr>
          <w:rStyle w:val="7"/>
          <w:rFonts w:hint="eastAsia" w:ascii="方正小标宋简体" w:hAnsi="方正小标宋简体" w:eastAsia="方正小标宋简体" w:cs="方正小标宋简体"/>
          <w:b w:val="0"/>
          <w:bCs w:val="0"/>
          <w:i w:val="0"/>
          <w:iCs w:val="0"/>
          <w:caps w:val="0"/>
          <w:color w:val="000000"/>
          <w:spacing w:val="0"/>
          <w:sz w:val="44"/>
          <w:szCs w:val="44"/>
          <w:shd w:val="clear" w:fill="FFFFFF"/>
          <w:lang w:val="en-US" w:eastAsia="zh-CN"/>
        </w:rPr>
        <w:t>肇东市</w:t>
      </w:r>
      <w:r>
        <w:rPr>
          <w:rStyle w:val="7"/>
          <w:rFonts w:hint="eastAsia" w:ascii="方正小标宋简体" w:hAnsi="方正小标宋简体" w:eastAsia="方正小标宋简体" w:cs="方正小标宋简体"/>
          <w:b w:val="0"/>
          <w:bCs w:val="0"/>
          <w:i w:val="0"/>
          <w:iCs w:val="0"/>
          <w:caps w:val="0"/>
          <w:color w:val="000000"/>
          <w:spacing w:val="0"/>
          <w:sz w:val="44"/>
          <w:szCs w:val="44"/>
          <w:shd w:val="clear" w:fill="FFFFFF"/>
        </w:rPr>
        <w:t>秸秆综合利用工作</w:t>
      </w:r>
    </w:p>
    <w:p w14:paraId="57EB15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b w:val="0"/>
          <w:bCs w:val="0"/>
          <w:color w:val="1F2329"/>
          <w:kern w:val="0"/>
          <w:sz w:val="32"/>
          <w:szCs w:val="32"/>
          <w:lang w:val="en-US" w:eastAsia="zh-CN" w:bidi="ar"/>
        </w:rPr>
      </w:pPr>
      <w:r>
        <w:rPr>
          <w:rStyle w:val="7"/>
          <w:rFonts w:hint="eastAsia" w:ascii="方正小标宋简体" w:hAnsi="方正小标宋简体" w:eastAsia="方正小标宋简体" w:cs="方正小标宋简体"/>
          <w:b w:val="0"/>
          <w:bCs w:val="0"/>
          <w:i w:val="0"/>
          <w:iCs w:val="0"/>
          <w:caps w:val="0"/>
          <w:color w:val="000000"/>
          <w:spacing w:val="0"/>
          <w:sz w:val="44"/>
          <w:szCs w:val="44"/>
          <w:shd w:val="clear" w:fill="FFFFFF"/>
        </w:rPr>
        <w:t>实施方案</w:t>
      </w:r>
      <w:r>
        <w:rPr>
          <w:rFonts w:hint="eastAsia" w:ascii="仿宋_GB2312" w:hAnsi="仿宋_GB2312" w:eastAsia="仿宋_GB2312" w:cs="仿宋_GB2312"/>
          <w:b w:val="0"/>
          <w:bCs w:val="0"/>
          <w:color w:val="1F2329"/>
          <w:kern w:val="0"/>
          <w:sz w:val="32"/>
          <w:szCs w:val="32"/>
          <w:lang w:val="en-US" w:eastAsia="zh-CN" w:bidi="ar"/>
        </w:rPr>
        <w:t xml:space="preserve"> </w:t>
      </w:r>
    </w:p>
    <w:p w14:paraId="5FA013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（征求意见稿）</w:t>
      </w:r>
    </w:p>
    <w:p w14:paraId="539274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仿宋_GB2312" w:hAnsi="仿宋_GB2312" w:eastAsia="仿宋_GB2312" w:cs="仿宋_GB2312"/>
          <w:color w:val="1F2329"/>
          <w:kern w:val="0"/>
          <w:sz w:val="32"/>
          <w:szCs w:val="32"/>
          <w:lang w:val="en-US" w:eastAsia="zh-CN" w:bidi="ar"/>
        </w:rPr>
        <w:t>2026年肇东市秸秆综合利用工作要坚持以习近平生态文明思想为指导，推动中央生态环境保护督察反馈问题整改落地见效，坚持农用优先、就近利用、多措并</w:t>
      </w:r>
      <w:bookmarkStart w:id="0" w:name="_GoBack"/>
      <w:bookmarkEnd w:id="0"/>
      <w:r>
        <w:rPr>
          <w:rFonts w:hint="eastAsia" w:ascii="仿宋_GB2312" w:hAnsi="仿宋_GB2312" w:eastAsia="仿宋_GB2312" w:cs="仿宋_GB2312"/>
          <w:color w:val="1F2329"/>
          <w:kern w:val="0"/>
          <w:sz w:val="32"/>
          <w:szCs w:val="32"/>
          <w:lang w:val="en-US" w:eastAsia="zh-CN" w:bidi="ar"/>
        </w:rPr>
        <w:t>举、发展产业，推进以秸秆还田肥料化为主、能源化、饲料化为辅的“一主两辅”利用方式，扩大秸秆还田离田作业和综合利用规模，全面提升秸秆综合</w:t>
      </w:r>
      <w:r>
        <w:rPr>
          <w:rFonts w:hint="eastAsia" w:ascii="仿宋_GB2312" w:hAnsi="仿宋_GB2312" w:eastAsia="仿宋_GB2312" w:cs="仿宋_GB2312"/>
          <w:b w:val="0"/>
          <w:bCs w:val="0"/>
          <w:color w:val="1F2329"/>
          <w:kern w:val="0"/>
          <w:sz w:val="32"/>
          <w:szCs w:val="32"/>
          <w:lang w:val="en-US" w:eastAsia="zh-CN" w:bidi="ar"/>
        </w:rPr>
        <w:t>利用水平，确保全市秸秆综合利用率高于全省平均水平，结合我市耕地资</w:t>
      </w:r>
      <w:r>
        <w:rPr>
          <w:rFonts w:hint="eastAsia" w:ascii="仿宋_GB2312" w:hAnsi="仿宋_GB2312" w:eastAsia="仿宋_GB2312" w:cs="仿宋_GB2312"/>
          <w:color w:val="1F2329"/>
          <w:kern w:val="0"/>
          <w:sz w:val="32"/>
          <w:szCs w:val="32"/>
          <w:lang w:val="en-US" w:eastAsia="zh-CN" w:bidi="ar"/>
        </w:rPr>
        <w:t>源、禁烧管控任务实际，制定本方案。</w:t>
      </w:r>
    </w:p>
    <w:p w14:paraId="401FFF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1F2329"/>
          <w:sz w:val="32"/>
          <w:szCs w:val="32"/>
        </w:rPr>
      </w:pPr>
      <w:r>
        <w:rPr>
          <w:rFonts w:hint="eastAsia" w:ascii="黑体" w:hAnsi="黑体" w:eastAsia="黑体" w:cs="黑体"/>
          <w:b w:val="0"/>
          <w:bCs w:val="0"/>
          <w:color w:val="1F2329"/>
          <w:sz w:val="32"/>
          <w:szCs w:val="32"/>
        </w:rPr>
        <w:t>一、重点任务</w:t>
      </w:r>
    </w:p>
    <w:p w14:paraId="60E801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（一）大力推进秸秆科学还田。</w:t>
      </w:r>
      <w:r>
        <w:rPr>
          <w:rFonts w:hint="eastAsia" w:ascii="仿宋_GB2312" w:hAnsi="仿宋_GB2312" w:eastAsia="仿宋_GB2312" w:cs="仿宋_GB2312"/>
          <w:color w:val="1F2329"/>
          <w:kern w:val="0"/>
          <w:sz w:val="32"/>
          <w:szCs w:val="32"/>
          <w:lang w:val="en-US" w:eastAsia="zh-CN" w:bidi="ar"/>
        </w:rPr>
        <w:t>以2026年秋冬季为核心作业时段，紧盯玉米、水稻秸秆，持续扩大秸秆机械化还田覆盖面，因地制宜推广秸秆翻埋、松耙碎混等科学还田技术模式。以村为单位统筹组织分散农户连片统一作业，强化技术指导服务，提高小农户秸秆还田应用比例；引导农民合作社、种粮大户、家庭农场对标作业规范，提升标准化作业水平。</w:t>
      </w:r>
    </w:p>
    <w:p w14:paraId="32827F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（二）建立健全秸秆收储运体系。</w:t>
      </w:r>
      <w:r>
        <w:rPr>
          <w:rFonts w:hint="eastAsia" w:ascii="仿宋_GB2312" w:hAnsi="仿宋_GB2312" w:eastAsia="仿宋_GB2312" w:cs="仿宋_GB2312"/>
          <w:color w:val="1F2329"/>
          <w:kern w:val="0"/>
          <w:sz w:val="32"/>
          <w:szCs w:val="32"/>
          <w:lang w:val="en-US" w:eastAsia="zh-CN" w:bidi="ar"/>
        </w:rPr>
        <w:t>市级统筹、乡镇落地，结合辖区秸秆资源存量和加工主体消纳能力，科学布设秸秆标准化收储中心、收储站点，发展企业自营、合作社兼营、经纪人专营的收储运服务网络。鼓励农事服务中心拓展秸秆收储功能，引导离田作业主体、村集体与秸秆产业化利用企业对接，建立稳定利益联结机制，保障企业原料持续供应。严格执行离田作业标准，推广筛土打包机具，从源头控制打包秸秆带土量。</w:t>
      </w:r>
    </w:p>
    <w:p w14:paraId="2E3050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（三）提升秸秆产业化利用水平。</w:t>
      </w:r>
      <w:r>
        <w:rPr>
          <w:rFonts w:hint="eastAsia" w:ascii="仿宋_GB2312" w:hAnsi="仿宋_GB2312" w:eastAsia="仿宋_GB2312" w:cs="仿宋_GB2312"/>
          <w:color w:val="1F2329"/>
          <w:kern w:val="0"/>
          <w:sz w:val="32"/>
          <w:szCs w:val="32"/>
          <w:lang w:val="en-US" w:eastAsia="zh-CN" w:bidi="ar"/>
        </w:rPr>
        <w:t>立足现有生物质电厂等能源化项目，稳定提升秸秆消纳转化能力；积极推广秸秆打捆直燃、生物天然气等利用模式。持续拓展秸秆饲料化利用路径，依托草食畜牧业发展基础，提升秸秆饲料转化水平。围绕秸秆绿色甲醇、生物基材料等方向做好招商引资储备；培育一批秸秆离田龙头主体，鼓励组建市级秸秆产业联盟，打通打包、运输、存储、加工全链条，提升产业链协同能力。落实重点县考核要求，对秸秆还田比例超过40%的乡镇，组织开展还田生态效应监测评价和技术模式总结。</w:t>
      </w:r>
    </w:p>
    <w:p w14:paraId="45FC1A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（四）增强秸秆信息化管理效能。</w:t>
      </w:r>
      <w:r>
        <w:rPr>
          <w:rFonts w:hint="eastAsia" w:ascii="仿宋_GB2312" w:hAnsi="仿宋_GB2312" w:eastAsia="仿宋_GB2312" w:cs="仿宋_GB2312"/>
          <w:color w:val="1F2329"/>
          <w:kern w:val="0"/>
          <w:sz w:val="32"/>
          <w:szCs w:val="32"/>
          <w:lang w:val="en-US" w:eastAsia="zh-CN" w:bidi="ar"/>
        </w:rPr>
        <w:t>依托全省自然资源空间地理数据共享应用平台，开展秸秆还田、离田作业卫星影像、视频流数据交叉比对，构建“监测—预警—核查—反馈”闭环管理体系。落实秸秆资源分级核查制度，综合运用平台自动比对、乡村现场核验、市级抽查等方式，规范秸秆资源底数、离还田作业数据采集上报，保证数据真实准确。同步建立健全秋收、秋整地、秸秆还田离田、风险隐患问题“四本台账”，鼓励搭建秸秆供需信息对接渠道，及时发布收储、加工需求信息。</w:t>
      </w:r>
    </w:p>
    <w:p w14:paraId="65EA26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highlight w:val="none"/>
        </w:rPr>
      </w:pPr>
      <w:r>
        <w:rPr>
          <w:rFonts w:hint="eastAsia" w:ascii="方正楷体_GB2312" w:hAnsi="方正楷体_GB2312" w:eastAsia="方正楷体_GB2312" w:cs="方正楷体_GB2312"/>
          <w:color w:val="1F2329"/>
          <w:kern w:val="0"/>
          <w:sz w:val="32"/>
          <w:szCs w:val="32"/>
          <w:lang w:val="en-US" w:eastAsia="zh-CN" w:bidi="ar"/>
        </w:rPr>
        <w:t>（五）加快秸秆利用新技术研发应用。</w:t>
      </w:r>
      <w:r>
        <w:rPr>
          <w:rFonts w:hint="eastAsia" w:ascii="仿宋_GB2312" w:hAnsi="仿宋_GB2312" w:eastAsia="仿宋_GB2312" w:cs="仿宋_GB2312"/>
          <w:color w:val="1F2329"/>
          <w:kern w:val="0"/>
          <w:sz w:val="32"/>
          <w:szCs w:val="32"/>
          <w:lang w:val="en-US" w:eastAsia="zh-CN" w:bidi="ar"/>
        </w:rPr>
        <w:t>聚焦秸秆“五化”利用方向，围绕</w:t>
      </w:r>
      <w:r>
        <w:rPr>
          <w:rFonts w:hint="eastAsia" w:ascii="仿宋_GB2312" w:hAnsi="仿宋_GB2312" w:eastAsia="仿宋_GB2312" w:cs="仿宋_GB2312"/>
          <w:color w:val="1F2329"/>
          <w:kern w:val="0"/>
          <w:sz w:val="32"/>
          <w:szCs w:val="32"/>
          <w:highlight w:val="none"/>
          <w:lang w:val="en-US" w:eastAsia="zh-CN" w:bidi="ar"/>
        </w:rPr>
        <w:t>低温快速腐熟、秸秆饲料高效转化、高效低损收储运等关键环节，由市农业农村局联合市工业信息科技局对接科研院所、经营主体开展产学研合作，积极申报省级农业重点研发、核心技术攻关项目，加快低成本、轻简化新技术、新机具示范推广，稳步扩大先进模式应用覆盖面。</w:t>
      </w:r>
    </w:p>
    <w:p w14:paraId="419459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1F2329"/>
          <w:sz w:val="32"/>
          <w:szCs w:val="32"/>
          <w:highlight w:val="none"/>
        </w:rPr>
      </w:pPr>
      <w:r>
        <w:rPr>
          <w:rFonts w:hint="eastAsia" w:ascii="黑体" w:hAnsi="黑体" w:eastAsia="黑体" w:cs="黑体"/>
          <w:b w:val="0"/>
          <w:bCs w:val="0"/>
          <w:color w:val="1F2329"/>
          <w:sz w:val="32"/>
          <w:szCs w:val="32"/>
          <w:highlight w:val="none"/>
        </w:rPr>
        <w:t>二、支持政策</w:t>
      </w:r>
    </w:p>
    <w:p w14:paraId="4792AE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highlight w:val="none"/>
        </w:rPr>
      </w:pPr>
      <w:r>
        <w:rPr>
          <w:rFonts w:hint="eastAsia" w:ascii="仿宋_GB2312" w:hAnsi="仿宋_GB2312" w:eastAsia="仿宋_GB2312" w:cs="仿宋_GB2312"/>
          <w:color w:val="1F2329"/>
          <w:kern w:val="0"/>
          <w:sz w:val="32"/>
          <w:szCs w:val="32"/>
          <w:highlight w:val="none"/>
          <w:lang w:val="en-US" w:eastAsia="zh-CN" w:bidi="ar"/>
        </w:rPr>
        <w:t>2026年统筹用好上级秸秆综合利用资金、市级配套资金，坚持“能还尽还、宜离则离”，</w:t>
      </w:r>
      <w:r>
        <w:rPr>
          <w:rFonts w:hint="eastAsia" w:ascii="仿宋_GB2312" w:hAnsi="仿宋_GB2312" w:eastAsia="仿宋_GB2312" w:cs="仿宋_GB2312"/>
          <w:b w:val="0"/>
          <w:bCs w:val="0"/>
          <w:color w:val="1F2329"/>
          <w:kern w:val="0"/>
          <w:sz w:val="32"/>
          <w:szCs w:val="32"/>
          <w:highlight w:val="none"/>
          <w:lang w:val="en-US" w:eastAsia="zh-CN" w:bidi="ar"/>
        </w:rPr>
        <w:t>按照</w:t>
      </w:r>
      <w:r>
        <w:rPr>
          <w:rStyle w:val="7"/>
          <w:rFonts w:hint="eastAsia" w:ascii="仿宋_GB2312" w:hAnsi="仿宋_GB2312" w:eastAsia="仿宋_GB2312" w:cs="仿宋_GB2312"/>
          <w:b w:val="0"/>
          <w:bCs w:val="0"/>
          <w:color w:val="1F2329"/>
          <w:kern w:val="0"/>
          <w:sz w:val="32"/>
          <w:szCs w:val="32"/>
          <w:highlight w:val="none"/>
          <w:lang w:val="en-US" w:eastAsia="zh-CN" w:bidi="ar"/>
        </w:rPr>
        <w:t>谁作业、补给谁</w:t>
      </w:r>
      <w:r>
        <w:rPr>
          <w:rFonts w:hint="eastAsia" w:ascii="仿宋_GB2312" w:hAnsi="仿宋_GB2312" w:eastAsia="仿宋_GB2312" w:cs="仿宋_GB2312"/>
          <w:color w:val="1F2329"/>
          <w:kern w:val="0"/>
          <w:sz w:val="32"/>
          <w:szCs w:val="32"/>
          <w:highlight w:val="none"/>
          <w:lang w:val="en-US" w:eastAsia="zh-CN" w:bidi="ar"/>
        </w:rPr>
        <w:t>原则，补助对象为开展玉米、水稻秸秆还田、离田作业的经营主体，不分所有制、资本来源、注册地域，符合申报条件的主体同等享受政策支持。补助实行先作业、后验收、再兑付；同一地块同一作业事项不得重复享受同类财政补助；还田作业地块存在过火痕迹的，不予发放作业补助。</w:t>
      </w:r>
    </w:p>
    <w:p w14:paraId="2A82CC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方正楷体_GB2312" w:hAnsi="方正楷体_GB2312" w:eastAsia="方正楷体_GB2312" w:cs="方正楷体_GB2312"/>
          <w:color w:val="1F2329"/>
          <w:kern w:val="0"/>
          <w:sz w:val="32"/>
          <w:szCs w:val="32"/>
          <w:lang w:val="en-US" w:eastAsia="zh-CN" w:bidi="ar"/>
        </w:rPr>
        <w:t>（一）支持秸秆还田作业。</w:t>
      </w:r>
      <w:r>
        <w:rPr>
          <w:rFonts w:hint="eastAsia" w:ascii="仿宋_GB2312" w:hAnsi="仿宋_GB2312" w:eastAsia="仿宋_GB2312" w:cs="仿宋_GB2312"/>
          <w:color w:val="1F2329"/>
          <w:kern w:val="0"/>
          <w:sz w:val="32"/>
          <w:szCs w:val="32"/>
          <w:lang w:val="en-US" w:eastAsia="zh-CN" w:bidi="ar"/>
        </w:rPr>
        <w:t>各乡镇结合土壤类型、耕作条件因地制宜选择还田模式。玉米秸秆翻埋、碎混还田作业（作业深度≥30厘米），省级每亩补助30元；禁烧管控区域在省级补助基础上，由市级配套每亩补助40元，合计每亩70元。水稻秸秆翻埋还田（作业深度≥20厘米）、旋耕还田作业（作业深度≥15厘米），省级每亩补助20元；禁烧管控区域在省级补助基础上，由市级配套每亩补助30元，合计每亩50元。鼓励作业主体加大投入，进一步提升作业质量标准。作业机具需加装监测终端，作业数据经省农机管理调度指挥平台智能终端监测合格方可申领补贴。支持乡镇开展秸秆覆盖免（少）耕播种作业，对符合条件的作业按规定予以补助。</w:t>
      </w:r>
    </w:p>
    <w:p w14:paraId="75230F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b w:val="0"/>
          <w:bCs w:val="0"/>
          <w:color w:val="1F2329"/>
          <w:kern w:val="0"/>
          <w:sz w:val="32"/>
          <w:szCs w:val="32"/>
          <w:lang w:val="en-US" w:eastAsia="zh-CN" w:bidi="ar"/>
        </w:rPr>
      </w:pPr>
      <w:r>
        <w:rPr>
          <w:rFonts w:hint="eastAsia" w:ascii="方正楷体_GB2312" w:hAnsi="方正楷体_GB2312" w:eastAsia="方正楷体_GB2312" w:cs="方正楷体_GB2312"/>
          <w:color w:val="1F2329"/>
          <w:kern w:val="0"/>
          <w:sz w:val="32"/>
          <w:szCs w:val="32"/>
          <w:lang w:val="en-US" w:eastAsia="zh-CN" w:bidi="ar"/>
        </w:rPr>
        <w:t>（二）支持秸秆离田作业。</w:t>
      </w:r>
      <w:r>
        <w:rPr>
          <w:rFonts w:hint="eastAsia" w:ascii="仿宋_GB2312" w:hAnsi="仿宋_GB2312" w:eastAsia="仿宋_GB2312" w:cs="仿宋_GB2312"/>
          <w:color w:val="1F2329"/>
          <w:kern w:val="0"/>
          <w:sz w:val="32"/>
          <w:szCs w:val="32"/>
          <w:lang w:val="en-US" w:eastAsia="zh-CN" w:bidi="ar"/>
        </w:rPr>
        <w:t>统筹使用2026年国家秸秆综合利用重点县资金400万元，</w:t>
      </w:r>
      <w:r>
        <w:rPr>
          <w:rStyle w:val="7"/>
          <w:rFonts w:hint="eastAsia" w:ascii="仿宋_GB2312" w:hAnsi="仿宋_GB2312" w:eastAsia="仿宋_GB2312" w:cs="仿宋_GB2312"/>
          <w:b w:val="0"/>
          <w:bCs/>
          <w:color w:val="1F2329"/>
          <w:kern w:val="0"/>
          <w:sz w:val="32"/>
          <w:szCs w:val="32"/>
          <w:lang w:val="en-US" w:eastAsia="zh-CN" w:bidi="ar"/>
        </w:rPr>
        <w:t>资金用于保障禁烧管控区域秸秆离田作业，不按种植面积普惠发放补贴</w:t>
      </w:r>
      <w:r>
        <w:rPr>
          <w:rFonts w:hint="eastAsia" w:ascii="仿宋_GB2312" w:hAnsi="仿宋_GB2312" w:eastAsia="仿宋_GB2312" w:cs="仿宋_GB2312"/>
          <w:b w:val="0"/>
          <w:bCs/>
          <w:color w:val="1F2329"/>
          <w:kern w:val="0"/>
          <w:sz w:val="32"/>
          <w:szCs w:val="32"/>
          <w:lang w:val="en-US" w:eastAsia="zh-CN" w:bidi="ar"/>
        </w:rPr>
        <w:t>，</w:t>
      </w:r>
      <w:r>
        <w:rPr>
          <w:rStyle w:val="7"/>
          <w:rFonts w:hint="eastAsia" w:ascii="仿宋_GB2312" w:hAnsi="仿宋_GB2312" w:eastAsia="仿宋_GB2312" w:cs="仿宋_GB2312"/>
          <w:b w:val="0"/>
          <w:bCs/>
          <w:color w:val="1F2329"/>
          <w:kern w:val="0"/>
          <w:sz w:val="32"/>
          <w:szCs w:val="32"/>
          <w:lang w:val="en-US" w:eastAsia="zh-CN" w:bidi="ar"/>
        </w:rPr>
        <w:t>禁烧管控区域内玉米秸秆离田作业每亩补助10元，水稻秸秆离田作业每亩补助40元，</w:t>
      </w:r>
      <w:r>
        <w:rPr>
          <w:rFonts w:hint="eastAsia" w:ascii="仿宋_GB2312" w:hAnsi="仿宋_GB2312" w:eastAsia="仿宋_GB2312" w:cs="仿宋_GB2312"/>
          <w:color w:val="1F2329"/>
          <w:kern w:val="0"/>
          <w:sz w:val="32"/>
          <w:szCs w:val="32"/>
          <w:lang w:val="en-US" w:eastAsia="zh-CN" w:bidi="ar"/>
        </w:rPr>
        <w:t>秸秆离田作业完成后，地块根茬残余物必须规范处置。作业机具安装监测终端的，作业数据依据省农机管理调度指挥平台监测面积为准；作业机具未安装监测终端</w:t>
      </w:r>
      <w:r>
        <w:rPr>
          <w:rFonts w:hint="eastAsia" w:ascii="仿宋_GB2312" w:hAnsi="仿宋_GB2312" w:eastAsia="仿宋_GB2312" w:cs="仿宋_GB2312"/>
          <w:b w:val="0"/>
          <w:bCs w:val="0"/>
          <w:color w:val="1F2329"/>
          <w:kern w:val="0"/>
          <w:sz w:val="32"/>
          <w:szCs w:val="32"/>
          <w:lang w:val="en-US" w:eastAsia="zh-CN" w:bidi="ar"/>
        </w:rPr>
        <w:t>的，对</w:t>
      </w:r>
      <w:r>
        <w:rPr>
          <w:rStyle w:val="7"/>
          <w:rFonts w:hint="eastAsia" w:ascii="仿宋_GB2312" w:hAnsi="仿宋_GB2312" w:eastAsia="仿宋_GB2312" w:cs="仿宋_GB2312"/>
          <w:b w:val="0"/>
          <w:bCs w:val="0"/>
          <w:color w:val="1F2329"/>
          <w:kern w:val="0"/>
          <w:sz w:val="32"/>
          <w:szCs w:val="32"/>
          <w:lang w:val="en-US" w:eastAsia="zh-CN" w:bidi="ar"/>
        </w:rPr>
        <w:t>实施离田作业的地块</w:t>
      </w:r>
      <w:r>
        <w:rPr>
          <w:rFonts w:hint="eastAsia" w:ascii="仿宋_GB2312" w:hAnsi="仿宋_GB2312" w:eastAsia="仿宋_GB2312" w:cs="仿宋_GB2312"/>
          <w:b w:val="0"/>
          <w:bCs w:val="0"/>
          <w:color w:val="1F2329"/>
          <w:kern w:val="0"/>
          <w:sz w:val="32"/>
          <w:szCs w:val="32"/>
          <w:lang w:val="en-US" w:eastAsia="zh-CN" w:bidi="ar"/>
        </w:rPr>
        <w:t>实行人工实地核验，合格后兑付补助。</w:t>
      </w:r>
    </w:p>
    <w:p w14:paraId="53BF7A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（三）支持饲料化、肥料化、能源化利用。</w:t>
      </w:r>
      <w:r>
        <w:rPr>
          <w:rFonts w:hint="eastAsia" w:ascii="仿宋_GB2312" w:hAnsi="仿宋_GB2312" w:eastAsia="仿宋_GB2312" w:cs="仿宋_GB2312"/>
          <w:color w:val="1F2329"/>
          <w:kern w:val="0"/>
          <w:sz w:val="32"/>
          <w:szCs w:val="32"/>
          <w:lang w:val="en-US" w:eastAsia="zh-CN" w:bidi="ar"/>
        </w:rPr>
        <w:t>利用粮改饲项目，支持草食畜养殖主体储备全株玉米青贮，青贮补助标准按省规定执行，每吨最高不超过60元；利用黑土地有机质提升项目，支持主体开展秸秆、畜禽粪污堆沤有机肥及还田增施作业，按项目任务落实补助。对符合产业政策的秸秆能源化、原料化项目，积极向上申报争取中央预算内投资等政策支持。</w:t>
      </w:r>
    </w:p>
    <w:p w14:paraId="58FA9B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1F2329"/>
          <w:sz w:val="32"/>
          <w:szCs w:val="32"/>
        </w:rPr>
      </w:pPr>
      <w:r>
        <w:rPr>
          <w:rFonts w:hint="eastAsia" w:ascii="黑体" w:hAnsi="黑体" w:eastAsia="黑体" w:cs="黑体"/>
          <w:b w:val="0"/>
          <w:bCs w:val="0"/>
          <w:color w:val="1F2329"/>
          <w:sz w:val="32"/>
          <w:szCs w:val="32"/>
        </w:rPr>
        <w:t>三、责任分工</w:t>
      </w:r>
    </w:p>
    <w:p w14:paraId="4B8FA6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市农业农村局牵头负责秸秆肥料化、饲料化、基料化、固化成型燃料化利用，秸秆机械化还离田技术指导、补助核验、台账管理；联合市科技局做好秸秆新技术研发、产学研对接、成果转化推广工作。</w:t>
      </w:r>
    </w:p>
    <w:p w14:paraId="55DC63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市生态环境局承接省级调度机制要求，牵头建立市级秸秆综合利用调度机制，负责禁烧区划定、有序焚烧管控、火情核查认定。</w:t>
      </w:r>
    </w:p>
    <w:p w14:paraId="33B79A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市发展改革局负责生物质电厂、生物天然气等秸秆能源化利用项目调度、指导。</w:t>
      </w:r>
    </w:p>
    <w:p w14:paraId="6DF59D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市工业和信息化局负责秸秆工业原料化项目谋划、引进和推进。</w:t>
      </w:r>
    </w:p>
    <w:p w14:paraId="52C0F7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市财政局负责资金筹措、拨付、监管，按农业农村部门核定的任务完成情况做好资金保障。</w:t>
      </w:r>
    </w:p>
    <w:p w14:paraId="26B8D1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市自然资源局依法保障秸秆收储站点、产业化项目用地，优先办理临时用地手续。</w:t>
      </w:r>
    </w:p>
    <w:p w14:paraId="071CEB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市税务局落实秸秆综合利用相关产品增值税即征即退、资源综合利用企业所得税优惠政策。</w:t>
      </w:r>
    </w:p>
    <w:p w14:paraId="0D29DA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市供电公司落实秸秆初加工农业生产电价政策。</w:t>
      </w:r>
    </w:p>
    <w:p w14:paraId="5AF9C7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kern w:val="0"/>
          <w:sz w:val="32"/>
          <w:szCs w:val="32"/>
          <w:lang w:val="en-US" w:eastAsia="zh-CN" w:bidi="ar"/>
        </w:rPr>
      </w:pPr>
      <w:r>
        <w:rPr>
          <w:rFonts w:hint="eastAsia" w:ascii="仿宋_GB2312" w:hAnsi="仿宋_GB2312" w:eastAsia="仿宋_GB2312" w:cs="仿宋_GB2312"/>
          <w:color w:val="1F2329"/>
          <w:kern w:val="0"/>
          <w:sz w:val="32"/>
          <w:szCs w:val="32"/>
          <w:lang w:val="en-US" w:eastAsia="zh-CN" w:bidi="ar"/>
        </w:rPr>
        <w:t>人民银行肇东支行、金融监管部门引导金融机构创新信贷产品，支持秸秆收储、加工、技术研发等环节融资。</w:t>
      </w:r>
    </w:p>
    <w:p w14:paraId="2E4FC7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仿宋_GB2312" w:hAnsi="仿宋_GB2312" w:eastAsia="仿宋_GB2312" w:cs="仿宋_GB2312"/>
          <w:color w:val="1F2329"/>
          <w:kern w:val="0"/>
          <w:sz w:val="32"/>
          <w:szCs w:val="32"/>
          <w:lang w:val="en-US" w:eastAsia="zh-CN" w:bidi="ar"/>
        </w:rPr>
        <w:t>各乡（镇）人民政府严格落实属地管理责任，实施“一把手”工程、行政首长负责制，逐级压实任务，将秸秆综合利用纳入乡镇重点工作考核，分时段压实还田、离田作业责任。</w:t>
      </w:r>
    </w:p>
    <w:p w14:paraId="141AB0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1F2329"/>
          <w:sz w:val="32"/>
          <w:szCs w:val="32"/>
        </w:rPr>
      </w:pPr>
      <w:r>
        <w:rPr>
          <w:rFonts w:hint="eastAsia" w:ascii="黑体" w:hAnsi="黑体" w:eastAsia="黑体" w:cs="黑体"/>
          <w:b w:val="0"/>
          <w:bCs w:val="0"/>
          <w:color w:val="1F2329"/>
          <w:sz w:val="32"/>
          <w:szCs w:val="32"/>
        </w:rPr>
        <w:t>四、保障措施</w:t>
      </w:r>
    </w:p>
    <w:p w14:paraId="22112D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（一）强化组织动员。</w:t>
      </w:r>
      <w:r>
        <w:rPr>
          <w:rFonts w:hint="eastAsia" w:ascii="仿宋_GB2312" w:hAnsi="仿宋_GB2312" w:eastAsia="仿宋_GB2312" w:cs="仿宋_GB2312"/>
          <w:color w:val="1F2329"/>
          <w:kern w:val="0"/>
          <w:sz w:val="32"/>
          <w:szCs w:val="32"/>
          <w:lang w:val="en-US" w:eastAsia="zh-CN" w:bidi="ar"/>
        </w:rPr>
        <w:t>健全市级秸秆综合利用工作专班机制，充分发挥基层党组织、驻村工作队作用，组织动员广大农户、经营主体，形成市级统筹、乡镇主抓、村级落实，一级抓一级、层层抓落实的工作格局。用好各类宣传渠道，加大政策解读、技术培训力度，密切关注网络舆情，及时做好舆情引导和处置。</w:t>
      </w:r>
    </w:p>
    <w:p w14:paraId="3DD762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（二）严格资金监管。</w:t>
      </w:r>
      <w:r>
        <w:rPr>
          <w:rFonts w:hint="eastAsia" w:ascii="仿宋_GB2312" w:hAnsi="仿宋_GB2312" w:eastAsia="仿宋_GB2312" w:cs="仿宋_GB2312"/>
          <w:color w:val="1F2329"/>
          <w:kern w:val="0"/>
          <w:sz w:val="32"/>
          <w:szCs w:val="32"/>
          <w:lang w:val="en-US" w:eastAsia="zh-CN" w:bidi="ar"/>
        </w:rPr>
        <w:t>中央财政秸秆重点县补助资金纳入农业农村部转移支付管理平台管理；秸秆还田补助资金采取“先实施、后补助”据实结算。面向农户的补助全部纳入全省惠民惠农财政补助资金“一卡通”发放监管服务平台发放。鼓励引入第三方服务开展绩效监管，市级组织开展年度绩效评价，评价结果与各乡镇下一年度秸秆项目资金分配挂钩。严肃查处虚报冒领、挤占挪用、闲置浪费补助资金等违规行为，依规依纪依法追责问责，保障资金安全规范使用。</w:t>
      </w:r>
    </w:p>
    <w:p w14:paraId="1DBEF5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1F2329"/>
          <w:sz w:val="32"/>
          <w:szCs w:val="32"/>
        </w:rPr>
      </w:pPr>
      <w:r>
        <w:rPr>
          <w:rFonts w:hint="eastAsia" w:ascii="方正楷体_GB2312" w:hAnsi="方正楷体_GB2312" w:eastAsia="方正楷体_GB2312" w:cs="方正楷体_GB2312"/>
          <w:color w:val="1F2329"/>
          <w:kern w:val="0"/>
          <w:sz w:val="32"/>
          <w:szCs w:val="32"/>
          <w:lang w:val="en-US" w:eastAsia="zh-CN" w:bidi="ar"/>
        </w:rPr>
        <w:t>（三）强化调度督导。</w:t>
      </w:r>
      <w:r>
        <w:rPr>
          <w:rFonts w:hint="eastAsia" w:ascii="仿宋_GB2312" w:hAnsi="仿宋_GB2312" w:eastAsia="仿宋_GB2312" w:cs="仿宋_GB2312"/>
          <w:color w:val="1F2329"/>
          <w:kern w:val="0"/>
          <w:sz w:val="32"/>
          <w:szCs w:val="32"/>
          <w:lang w:val="en-US" w:eastAsia="zh-CN" w:bidi="ar"/>
        </w:rPr>
        <w:t>实行“每周调度、半月通报”工作机制，紧盯秋收、秋整地关键节点，跟踪调度作业进度，对推进滞后、风险突出的乡镇进行约谈提醒，倒逼任务落地。</w:t>
      </w:r>
    </w:p>
    <w:p w14:paraId="60D610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1F2329"/>
          <w:kern w:val="0"/>
          <w:sz w:val="32"/>
          <w:szCs w:val="32"/>
          <w:lang w:val="en-US" w:eastAsia="zh-CN" w:bidi="ar"/>
        </w:rPr>
        <w:t>本方案自公布之日起施行，有效期至2027年9月30日。其中，秸秆还田作业补助政策截止时间为2027年4月30日。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437938-95C5-4242-B5CA-E2108DB16D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556B0870-4391-4024-B71B-4D18A78CF596}"/>
  </w:font>
  <w:font w:name="仿宋_GB2312">
    <w:altName w:val="仿宋"/>
    <w:panose1 w:val="02010609030101010101"/>
    <w:charset w:val="86"/>
    <w:family w:val="auto"/>
    <w:pitch w:val="default"/>
    <w:sig w:usb0="00000000" w:usb1="00000000" w:usb2="00000000" w:usb3="00000000" w:csb0="00040000" w:csb1="00000000"/>
    <w:embedRegular r:id="rId3" w:fontKey="{7AF7EA87-6C60-463B-843A-9D35CD45D77F}"/>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embedRegular r:id="rId4" w:fontKey="{92177248-B4F0-4C3A-A97F-648F089C28B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E171A8"/>
    <w:rsid w:val="00773916"/>
    <w:rsid w:val="00C2730A"/>
    <w:rsid w:val="0A843289"/>
    <w:rsid w:val="15B45702"/>
    <w:rsid w:val="16775FC6"/>
    <w:rsid w:val="178F10EE"/>
    <w:rsid w:val="18EC2CCE"/>
    <w:rsid w:val="1A504FBA"/>
    <w:rsid w:val="1F6168F7"/>
    <w:rsid w:val="1FFF79EC"/>
    <w:rsid w:val="21F4496F"/>
    <w:rsid w:val="238D507B"/>
    <w:rsid w:val="26E01966"/>
    <w:rsid w:val="30E171A8"/>
    <w:rsid w:val="3445105A"/>
    <w:rsid w:val="356A7BA5"/>
    <w:rsid w:val="362F3572"/>
    <w:rsid w:val="36637EBD"/>
    <w:rsid w:val="3A2372E5"/>
    <w:rsid w:val="3D6A1B31"/>
    <w:rsid w:val="3EB13E1F"/>
    <w:rsid w:val="3F450160"/>
    <w:rsid w:val="471E603B"/>
    <w:rsid w:val="477951FA"/>
    <w:rsid w:val="4CB613E8"/>
    <w:rsid w:val="537975F9"/>
    <w:rsid w:val="56633896"/>
    <w:rsid w:val="58781FEF"/>
    <w:rsid w:val="5B482DC2"/>
    <w:rsid w:val="65E120E1"/>
    <w:rsid w:val="66FD119D"/>
    <w:rsid w:val="68B63CF9"/>
    <w:rsid w:val="711041C2"/>
    <w:rsid w:val="78992CEF"/>
    <w:rsid w:val="79A731EA"/>
    <w:rsid w:val="7C800462"/>
    <w:rsid w:val="7D651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319</Words>
  <Characters>334</Characters>
  <Lines>0</Lines>
  <Paragraphs>0</Paragraphs>
  <TotalTime>40</TotalTime>
  <ScaleCrop>false</ScaleCrop>
  <LinksUpToDate>false</LinksUpToDate>
  <CharactersWithSpaces>367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2026-11-01T09:13:00Z</dcterms:created>
  <dc:creator>赵紫程</dc:creator>
  <cp:lastModifiedBy>天蝎座</cp:lastModifiedBy>
  <cp:lastPrinted>2026-11-03T03:15:00Z</cp:lastPrinted>
  <dcterms:modified xsi:type="dcterms:W3CDTF">2026-11-04T01:15:24Z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3CD1313FDCC844768EF1A5B09F6B816C_13</vt:lpwstr>
  </property>
  <property fmtid="{D5CDD505-2E9C-101B-9397-08002B2CF9AE}" pid="4" name="KSOTemplateDocerSaveRecord">
    <vt:lpwstr>eyJoZGlkIjoiNGYxNzU2NmNiZTJhOGI0MjNiZjQyYjU0Mjg5ZjY2OWYiLCJ1c2VySWQiOiIzMDU2Mjg0NzYifQ==</vt:lpwstr>
  </property>
</Properties>
</file>